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38D6" w14:textId="2559D703" w:rsidR="004A109A" w:rsidRPr="00BA56B9" w:rsidRDefault="00282574" w:rsidP="00F92FD1">
      <w:pPr>
        <w:pStyle w:val="Title"/>
        <w:rPr>
          <w:rFonts w:asciiTheme="minorHAnsi" w:hAnsiTheme="minorHAnsi"/>
          <w:sz w:val="28"/>
        </w:rPr>
      </w:pPr>
      <w:proofErr w:type="spellStart"/>
      <w:r w:rsidRPr="00282574">
        <w:rPr>
          <w:rFonts w:asciiTheme="minorHAnsi" w:hAnsiTheme="minorHAnsi"/>
          <w:sz w:val="28"/>
        </w:rPr>
        <w:t>Waipaoa</w:t>
      </w:r>
      <w:proofErr w:type="spellEnd"/>
      <w:r w:rsidRPr="00282574">
        <w:rPr>
          <w:rFonts w:asciiTheme="minorHAnsi" w:hAnsiTheme="minorHAnsi"/>
          <w:sz w:val="28"/>
        </w:rPr>
        <w:t xml:space="preserve"> River, Aotearoa New Zealand: Changing connectivity, catchment-scale response times and prospective river futures</w:t>
      </w:r>
    </w:p>
    <w:p w14:paraId="2B7424CA" w14:textId="3457B51C" w:rsidR="005114C1" w:rsidRPr="00BA56B9" w:rsidRDefault="00282574" w:rsidP="00F92FD1">
      <w:pPr>
        <w:pStyle w:val="Author"/>
        <w:rPr>
          <w:rFonts w:asciiTheme="minorHAnsi" w:hAnsiTheme="minorHAnsi"/>
        </w:rPr>
      </w:pPr>
      <w:bookmarkStart w:id="0" w:name="_Toc251752487"/>
      <w:bookmarkStart w:id="1" w:name="_Toc252268946"/>
      <w:r w:rsidRPr="00282574">
        <w:rPr>
          <w:rFonts w:asciiTheme="minorHAnsi" w:hAnsiTheme="minorHAnsi"/>
          <w:b/>
          <w:bCs/>
          <w:lang w:eastAsia="ja-JP"/>
        </w:rPr>
        <w:t>Ian Fuller</w:t>
      </w:r>
      <w:r w:rsidR="005114C1" w:rsidRPr="00BA56B9">
        <w:rPr>
          <w:rFonts w:asciiTheme="minorHAnsi" w:hAnsiTheme="minorHAnsi"/>
          <w:vertAlign w:val="superscript"/>
          <w:lang w:eastAsia="ja-JP"/>
        </w:rPr>
        <w:t>1</w:t>
      </w:r>
      <w:r w:rsidR="005114C1" w:rsidRPr="00BA56B9">
        <w:rPr>
          <w:rFonts w:asciiTheme="minorHAnsi" w:hAnsiTheme="minorHAnsi"/>
          <w:lang w:eastAsia="ja-JP"/>
        </w:rPr>
        <w:t xml:space="preserve">, </w:t>
      </w:r>
      <w:bookmarkEnd w:id="0"/>
      <w:bookmarkEnd w:id="1"/>
      <w:r w:rsidRPr="00282574">
        <w:rPr>
          <w:rFonts w:asciiTheme="minorHAnsi" w:hAnsiTheme="minorHAnsi"/>
          <w:lang w:eastAsia="ja-JP"/>
        </w:rPr>
        <w:t>Gary Brierley</w:t>
      </w:r>
      <w:r w:rsidRPr="00282574">
        <w:rPr>
          <w:rFonts w:asciiTheme="minorHAnsi" w:hAnsiTheme="minorHAnsi"/>
          <w:vertAlign w:val="superscript"/>
          <w:lang w:eastAsia="ja-JP"/>
        </w:rPr>
        <w:t>2</w:t>
      </w:r>
      <w:r w:rsidRPr="00282574">
        <w:rPr>
          <w:rFonts w:asciiTheme="minorHAnsi" w:hAnsiTheme="minorHAnsi"/>
          <w:lang w:eastAsia="ja-JP"/>
        </w:rPr>
        <w:t>, Brenda Rosser</w:t>
      </w:r>
      <w:r w:rsidRPr="00282574">
        <w:rPr>
          <w:rFonts w:asciiTheme="minorHAnsi" w:hAnsiTheme="minorHAnsi"/>
          <w:vertAlign w:val="superscript"/>
          <w:lang w:eastAsia="ja-JP"/>
        </w:rPr>
        <w:t>3</w:t>
      </w:r>
      <w:r w:rsidRPr="00282574">
        <w:rPr>
          <w:rFonts w:asciiTheme="minorHAnsi" w:hAnsiTheme="minorHAnsi"/>
          <w:lang w:eastAsia="ja-JP"/>
        </w:rPr>
        <w:t>, James Brasington</w:t>
      </w:r>
      <w:r w:rsidRPr="00282574">
        <w:rPr>
          <w:rFonts w:asciiTheme="minorHAnsi" w:hAnsiTheme="minorHAnsi"/>
          <w:vertAlign w:val="superscript"/>
          <w:lang w:eastAsia="ja-JP"/>
        </w:rPr>
        <w:t>4</w:t>
      </w:r>
      <w:r w:rsidRPr="00282574">
        <w:rPr>
          <w:rFonts w:asciiTheme="minorHAnsi" w:hAnsiTheme="minorHAnsi"/>
          <w:lang w:eastAsia="ja-JP"/>
        </w:rPr>
        <w:t>, Jon Tunnicliffe</w:t>
      </w:r>
      <w:r w:rsidRPr="00282574">
        <w:rPr>
          <w:rFonts w:asciiTheme="minorHAnsi" w:hAnsiTheme="minorHAnsi"/>
          <w:vertAlign w:val="superscript"/>
          <w:lang w:eastAsia="ja-JP"/>
        </w:rPr>
        <w:t>2</w:t>
      </w:r>
      <w:r w:rsidRPr="00282574">
        <w:rPr>
          <w:rFonts w:asciiTheme="minorHAnsi" w:hAnsiTheme="minorHAnsi"/>
          <w:lang w:eastAsia="ja-JP"/>
        </w:rPr>
        <w:t>, Mike Marden</w:t>
      </w:r>
      <w:r w:rsidRPr="00282574">
        <w:rPr>
          <w:rFonts w:asciiTheme="minorHAnsi" w:hAnsiTheme="minorHAnsi"/>
          <w:vertAlign w:val="superscript"/>
          <w:lang w:eastAsia="ja-JP"/>
        </w:rPr>
        <w:t>5</w:t>
      </w:r>
    </w:p>
    <w:p w14:paraId="62ED69AF" w14:textId="2A30E8D4" w:rsidR="00282574" w:rsidRPr="00282574" w:rsidRDefault="005114C1" w:rsidP="00282574">
      <w:pPr>
        <w:pStyle w:val="Address"/>
        <w:rPr>
          <w:rFonts w:asciiTheme="minorHAnsi" w:hAnsiTheme="minorHAnsi"/>
          <w:sz w:val="20"/>
          <w:lang w:eastAsia="ja-JP"/>
        </w:rPr>
      </w:pPr>
      <w:r w:rsidRPr="00BA56B9">
        <w:rPr>
          <w:rFonts w:asciiTheme="minorHAnsi" w:hAnsiTheme="minorHAnsi"/>
          <w:sz w:val="20"/>
          <w:vertAlign w:val="superscript"/>
          <w:lang w:eastAsia="ja-JP"/>
        </w:rPr>
        <w:t>1</w:t>
      </w:r>
      <w:r w:rsidR="00282574" w:rsidRPr="00282574">
        <w:rPr>
          <w:rFonts w:asciiTheme="minorHAnsi" w:hAnsiTheme="minorHAnsi"/>
          <w:sz w:val="20"/>
          <w:lang w:eastAsia="ja-JP"/>
        </w:rPr>
        <w:t>School of Agriculture &amp; Environment, Massey University, Palmerston North, New Zealand</w:t>
      </w:r>
    </w:p>
    <w:p w14:paraId="48FC4F57" w14:textId="77777777" w:rsidR="00282574" w:rsidRPr="00282574" w:rsidRDefault="00282574" w:rsidP="00282574">
      <w:pPr>
        <w:pStyle w:val="Address"/>
        <w:rPr>
          <w:rFonts w:asciiTheme="minorHAnsi" w:hAnsiTheme="minorHAnsi"/>
          <w:sz w:val="20"/>
          <w:lang w:eastAsia="ja-JP"/>
        </w:rPr>
      </w:pPr>
      <w:r w:rsidRPr="00282574">
        <w:rPr>
          <w:rFonts w:asciiTheme="minorHAnsi" w:hAnsiTheme="minorHAnsi"/>
          <w:sz w:val="20"/>
          <w:vertAlign w:val="superscript"/>
          <w:lang w:eastAsia="ja-JP"/>
        </w:rPr>
        <w:t>2</w:t>
      </w:r>
      <w:r w:rsidRPr="00282574">
        <w:rPr>
          <w:rFonts w:asciiTheme="minorHAnsi" w:hAnsiTheme="minorHAnsi"/>
          <w:sz w:val="20"/>
          <w:lang w:eastAsia="ja-JP"/>
        </w:rPr>
        <w:t>School of Environment, The University of Auckland, Auckland, New Zealand</w:t>
      </w:r>
    </w:p>
    <w:p w14:paraId="127CA49C" w14:textId="77777777" w:rsidR="00282574" w:rsidRPr="00282574" w:rsidRDefault="00282574" w:rsidP="00282574">
      <w:pPr>
        <w:pStyle w:val="Address"/>
        <w:rPr>
          <w:rFonts w:asciiTheme="minorHAnsi" w:hAnsiTheme="minorHAnsi"/>
          <w:sz w:val="20"/>
          <w:lang w:eastAsia="ja-JP"/>
        </w:rPr>
      </w:pPr>
      <w:r w:rsidRPr="00282574">
        <w:rPr>
          <w:rFonts w:asciiTheme="minorHAnsi" w:hAnsiTheme="minorHAnsi"/>
          <w:sz w:val="20"/>
          <w:vertAlign w:val="superscript"/>
          <w:lang w:eastAsia="ja-JP"/>
        </w:rPr>
        <w:t>3</w:t>
      </w:r>
      <w:r w:rsidRPr="00282574">
        <w:rPr>
          <w:rFonts w:asciiTheme="minorHAnsi" w:hAnsiTheme="minorHAnsi"/>
          <w:sz w:val="20"/>
          <w:lang w:eastAsia="ja-JP"/>
        </w:rPr>
        <w:t>GNS Science, Lower Hutt, New Zealand</w:t>
      </w:r>
    </w:p>
    <w:p w14:paraId="52C3ACA4" w14:textId="77777777" w:rsidR="00282574" w:rsidRPr="00282574" w:rsidRDefault="00282574" w:rsidP="00282574">
      <w:pPr>
        <w:pStyle w:val="Address"/>
        <w:rPr>
          <w:rFonts w:asciiTheme="minorHAnsi" w:hAnsiTheme="minorHAnsi"/>
          <w:sz w:val="20"/>
          <w:lang w:eastAsia="ja-JP"/>
        </w:rPr>
      </w:pPr>
      <w:r w:rsidRPr="00282574">
        <w:rPr>
          <w:rFonts w:asciiTheme="minorHAnsi" w:hAnsiTheme="minorHAnsi"/>
          <w:sz w:val="20"/>
          <w:vertAlign w:val="superscript"/>
          <w:lang w:eastAsia="ja-JP"/>
        </w:rPr>
        <w:t>4</w:t>
      </w:r>
      <w:r w:rsidRPr="00282574">
        <w:rPr>
          <w:rFonts w:asciiTheme="minorHAnsi" w:hAnsiTheme="minorHAnsi"/>
          <w:sz w:val="20"/>
          <w:lang w:eastAsia="ja-JP"/>
        </w:rPr>
        <w:t>Waterways Centre for Freshwater Management, University of Canterbury, Christchurch, New Zealand.</w:t>
      </w:r>
    </w:p>
    <w:p w14:paraId="21B411F5" w14:textId="37C303B8" w:rsidR="005114C1" w:rsidRPr="00BA56B9" w:rsidRDefault="00282574" w:rsidP="00282574">
      <w:pPr>
        <w:pStyle w:val="Address"/>
        <w:rPr>
          <w:rFonts w:asciiTheme="minorHAnsi" w:hAnsiTheme="minorHAnsi"/>
          <w:sz w:val="20"/>
          <w:lang w:eastAsia="ja-JP"/>
        </w:rPr>
      </w:pPr>
      <w:r w:rsidRPr="00282574">
        <w:rPr>
          <w:rFonts w:asciiTheme="minorHAnsi" w:hAnsiTheme="minorHAnsi"/>
          <w:sz w:val="20"/>
          <w:vertAlign w:val="superscript"/>
          <w:lang w:eastAsia="ja-JP"/>
        </w:rPr>
        <w:t>5</w:t>
      </w:r>
      <w:r w:rsidRPr="00282574">
        <w:rPr>
          <w:rFonts w:asciiTheme="minorHAnsi" w:hAnsiTheme="minorHAnsi"/>
          <w:sz w:val="20"/>
          <w:lang w:eastAsia="ja-JP"/>
        </w:rPr>
        <w:t>Manaaki Whenua Landcare Research, Gisborne, New Zealand</w:t>
      </w:r>
    </w:p>
    <w:p w14:paraId="6BFBAA78" w14:textId="6B3ACB9C" w:rsidR="0081058F" w:rsidRDefault="00F26421" w:rsidP="00282574">
      <w:pPr>
        <w:pStyle w:val="Address"/>
        <w:ind w:left="1440"/>
        <w:jc w:val="both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vertAlign w:val="superscript"/>
          <w:lang w:val="pl-PL" w:eastAsia="ja-JP"/>
        </w:rPr>
        <w:t xml:space="preserve">                             </w:t>
      </w:r>
    </w:p>
    <w:p w14:paraId="30C7A61F" w14:textId="49A21C21" w:rsidR="004A7B7C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This abstract is for an </w:t>
      </w:r>
      <w:proofErr w:type="gramStart"/>
      <w:r w:rsidR="004A7B7C">
        <w:rPr>
          <w:rFonts w:asciiTheme="minorHAnsi" w:hAnsiTheme="minorHAnsi"/>
          <w:b/>
          <w:sz w:val="20"/>
          <w:lang w:eastAsia="ja-JP"/>
        </w:rPr>
        <w:t>Oral</w:t>
      </w:r>
      <w:proofErr w:type="gramEnd"/>
      <w:r w:rsidR="004A7B7C">
        <w:rPr>
          <w:rFonts w:asciiTheme="minorHAnsi" w:hAnsiTheme="minorHAnsi"/>
          <w:b/>
          <w:sz w:val="20"/>
          <w:lang w:eastAsia="ja-JP"/>
        </w:rPr>
        <w:t xml:space="preserve"> </w:t>
      </w:r>
    </w:p>
    <w:p w14:paraId="763CB5B8" w14:textId="2CF540D7" w:rsidR="00D3131F" w:rsidRPr="00282574" w:rsidRDefault="00282574" w:rsidP="00282574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Applied Geomorphology </w:t>
      </w:r>
      <w:r>
        <w:rPr>
          <w:rFonts w:asciiTheme="minorHAnsi" w:hAnsiTheme="minorHAnsi"/>
          <w:bCs/>
          <w:sz w:val="20"/>
          <w:lang w:eastAsia="ja-JP"/>
        </w:rPr>
        <w:t>(would be useful to schedule in a session prior to mid-conference fieldtrip!)</w:t>
      </w:r>
    </w:p>
    <w:p w14:paraId="12145878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</w:pPr>
    </w:p>
    <w:p w14:paraId="3192BA8D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  <w:sectPr w:rsidR="004A109A" w:rsidRPr="00BA56B9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Pr="00BA56B9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45E803AC" w14:textId="0D4A1F23" w:rsidR="00E206CB" w:rsidRPr="00BA56B9" w:rsidRDefault="00282574" w:rsidP="00BA56B9">
      <w:pPr>
        <w:spacing w:after="200"/>
        <w:jc w:val="left"/>
        <w:rPr>
          <w:rFonts w:asciiTheme="minorHAnsi" w:hAnsiTheme="minorHAnsi"/>
          <w:sz w:val="20"/>
        </w:rPr>
      </w:pPr>
      <w:r w:rsidRPr="00282574">
        <w:rPr>
          <w:rFonts w:asciiTheme="minorHAnsi" w:hAnsiTheme="minorHAnsi"/>
          <w:sz w:val="20"/>
        </w:rPr>
        <w:t>High rates of erosion in the 2208 km</w:t>
      </w:r>
      <w:r w:rsidRPr="00282574">
        <w:rPr>
          <w:rFonts w:asciiTheme="minorHAnsi" w:hAnsiTheme="minorHAnsi"/>
          <w:sz w:val="20"/>
          <w:vertAlign w:val="superscript"/>
        </w:rPr>
        <w:t>2</w:t>
      </w:r>
      <w:r w:rsidRPr="00282574">
        <w:rPr>
          <w:rFonts w:asciiTheme="minorHAnsi" w:hAnsiTheme="minorHAnsi"/>
          <w:sz w:val="20"/>
        </w:rPr>
        <w:t xml:space="preserve"> </w:t>
      </w:r>
      <w:proofErr w:type="spellStart"/>
      <w:r w:rsidRPr="00282574">
        <w:rPr>
          <w:rFonts w:asciiTheme="minorHAnsi" w:hAnsiTheme="minorHAnsi"/>
          <w:sz w:val="20"/>
        </w:rPr>
        <w:t>Waipaoa</w:t>
      </w:r>
      <w:proofErr w:type="spellEnd"/>
      <w:r w:rsidRPr="00282574">
        <w:rPr>
          <w:rFonts w:asciiTheme="minorHAnsi" w:hAnsiTheme="minorHAnsi"/>
          <w:sz w:val="20"/>
        </w:rPr>
        <w:t xml:space="preserve"> River catchment have been the defining management issue since the mid-twentieth century. Erosion was dramatically enhanced by forest clearance for pastoral agriculture in the late nineteenth and early twentieth century, primed by a combination of highly erodible lithologies, </w:t>
      </w:r>
      <w:proofErr w:type="spellStart"/>
      <w:r w:rsidRPr="00282574">
        <w:rPr>
          <w:rFonts w:asciiTheme="minorHAnsi" w:hAnsiTheme="minorHAnsi"/>
          <w:sz w:val="20"/>
        </w:rPr>
        <w:t>steepland</w:t>
      </w:r>
      <w:proofErr w:type="spellEnd"/>
      <w:r w:rsidRPr="00282574">
        <w:rPr>
          <w:rFonts w:asciiTheme="minorHAnsi" w:hAnsiTheme="minorHAnsi"/>
          <w:sz w:val="20"/>
        </w:rPr>
        <w:t xml:space="preserve"> terrain, regular intense storm events, and slopes undercut during postglacial river incision. Catchment connectivity relationships in the </w:t>
      </w:r>
      <w:proofErr w:type="spellStart"/>
      <w:r w:rsidRPr="00282574">
        <w:rPr>
          <w:rFonts w:asciiTheme="minorHAnsi" w:hAnsiTheme="minorHAnsi"/>
          <w:sz w:val="20"/>
        </w:rPr>
        <w:t>Waipaoa</w:t>
      </w:r>
      <w:proofErr w:type="spellEnd"/>
      <w:r w:rsidRPr="00282574">
        <w:rPr>
          <w:rFonts w:asciiTheme="minorHAnsi" w:hAnsiTheme="minorHAnsi"/>
          <w:sz w:val="20"/>
        </w:rPr>
        <w:t xml:space="preserve"> have been profoundly altered. Simultaneous sediment inputs from deforested slopes deliver sediment directly into tributary and trunk stream channels, causing significant bed aggradation and channel infilling. Gullies initiated mid-twentieth century overwhelm receiving streams, forming alluvial fans and represent the single largest long-term sediment source to the system. In the upper catchment, widening of aggraded channels contributes more sediment, particularly through bank and valley-side erosion. The fine-grained nature of sediment supplied by lithologies in the upper catchment accentuates downstream delivery of materials, resulting in channel contraction and floodplain accretion in the lower </w:t>
      </w:r>
      <w:proofErr w:type="spellStart"/>
      <w:r w:rsidRPr="00282574">
        <w:rPr>
          <w:rFonts w:asciiTheme="minorHAnsi" w:hAnsiTheme="minorHAnsi"/>
          <w:sz w:val="20"/>
        </w:rPr>
        <w:t>Waipaoa</w:t>
      </w:r>
      <w:proofErr w:type="spellEnd"/>
      <w:r w:rsidRPr="00282574">
        <w:rPr>
          <w:rFonts w:asciiTheme="minorHAnsi" w:hAnsiTheme="minorHAnsi"/>
          <w:sz w:val="20"/>
        </w:rPr>
        <w:t xml:space="preserve">.  Efforts to mitigate erosion by afforestation have been successful in some headwater tributaries, with channel degradation beginning, but this process generates additional sediment that is conveyed downstream. We use a combination of LiDAR and river channel cross-sections to demonstrate contemporary longitudinal patterns of connectivity in the </w:t>
      </w:r>
      <w:proofErr w:type="spellStart"/>
      <w:r w:rsidRPr="00282574">
        <w:rPr>
          <w:rFonts w:asciiTheme="minorHAnsi" w:hAnsiTheme="minorHAnsi"/>
          <w:sz w:val="20"/>
        </w:rPr>
        <w:t>Waipaoa</w:t>
      </w:r>
      <w:proofErr w:type="spellEnd"/>
      <w:r w:rsidRPr="00282574">
        <w:rPr>
          <w:rFonts w:asciiTheme="minorHAnsi" w:hAnsiTheme="minorHAnsi"/>
          <w:sz w:val="20"/>
        </w:rPr>
        <w:t xml:space="preserve"> River and assess the prospective river futures of this anthropogenically altered system. We also report initial findings on the impacts of Cyclone Gabrielle in February 2023.</w:t>
      </w:r>
    </w:p>
    <w:p w14:paraId="5477FB8E" w14:textId="77777777" w:rsidR="00BA0AC7" w:rsidRPr="00BA56B9" w:rsidRDefault="00BA0AC7" w:rsidP="00F92FD1">
      <w:pPr>
        <w:jc w:val="left"/>
        <w:rPr>
          <w:rFonts w:asciiTheme="minorHAnsi" w:hAnsiTheme="minorHAnsi"/>
          <w:sz w:val="20"/>
          <w:lang w:val="fr-FR"/>
        </w:rPr>
        <w:sectPr w:rsidR="00BA0AC7" w:rsidRPr="00BA56B9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</w:p>
    <w:p w14:paraId="19FA4B42" w14:textId="77777777" w:rsidR="00BC2CCA" w:rsidRPr="00BA56B9" w:rsidRDefault="00BC2CCA" w:rsidP="00F92FD1">
      <w:pPr>
        <w:pStyle w:val="Address"/>
        <w:jc w:val="left"/>
        <w:rPr>
          <w:rFonts w:asciiTheme="minorHAnsi" w:hAnsiTheme="minorHAnsi"/>
          <w:sz w:val="20"/>
          <w:lang w:val="fr-FR"/>
        </w:rPr>
        <w:sectPr w:rsidR="00BC2CCA" w:rsidRPr="00BA56B9" w:rsidSect="004655D5">
          <w:type w:val="continuous"/>
          <w:pgSz w:w="11909" w:h="16834" w:code="9"/>
          <w:pgMar w:top="1138" w:right="1195" w:bottom="1138" w:left="1195" w:header="720" w:footer="720" w:gutter="0"/>
          <w:cols w:num="2" w:space="720"/>
          <w:titlePg/>
          <w:docGrid w:linePitch="360"/>
        </w:sectPr>
      </w:pPr>
    </w:p>
    <w:p w14:paraId="3225E032" w14:textId="77777777" w:rsidR="00C60DAA" w:rsidRPr="00BA56B9" w:rsidRDefault="00C60DAA" w:rsidP="00F92FD1">
      <w:pPr>
        <w:pStyle w:val="Reference"/>
        <w:jc w:val="left"/>
        <w:rPr>
          <w:rFonts w:asciiTheme="minorHAnsi" w:hAnsiTheme="minorHAnsi"/>
          <w:lang w:eastAsia="ja-JP"/>
        </w:rPr>
      </w:pPr>
    </w:p>
    <w:sectPr w:rsidR="00C60DAA" w:rsidRPr="00BA56B9" w:rsidSect="00E17D28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0556" w14:textId="77777777" w:rsidR="0056046D" w:rsidRDefault="0056046D">
      <w:r>
        <w:separator/>
      </w:r>
    </w:p>
  </w:endnote>
  <w:endnote w:type="continuationSeparator" w:id="0">
    <w:p w14:paraId="1A4F2E02" w14:textId="77777777" w:rsidR="0056046D" w:rsidRDefault="0056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59D1" w14:textId="77777777" w:rsidR="0056046D" w:rsidRDefault="0056046D">
      <w:r>
        <w:separator/>
      </w:r>
    </w:p>
  </w:footnote>
  <w:footnote w:type="continuationSeparator" w:id="0">
    <w:p w14:paraId="440E8AAB" w14:textId="77777777" w:rsidR="0056046D" w:rsidRDefault="0056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83110">
    <w:abstractNumId w:val="4"/>
  </w:num>
  <w:num w:numId="2" w16cid:durableId="973557181">
    <w:abstractNumId w:val="20"/>
  </w:num>
  <w:num w:numId="3" w16cid:durableId="1759791639">
    <w:abstractNumId w:val="6"/>
  </w:num>
  <w:num w:numId="4" w16cid:durableId="337737466">
    <w:abstractNumId w:val="21"/>
  </w:num>
  <w:num w:numId="5" w16cid:durableId="419374031">
    <w:abstractNumId w:val="12"/>
  </w:num>
  <w:num w:numId="6" w16cid:durableId="1170294914">
    <w:abstractNumId w:val="14"/>
  </w:num>
  <w:num w:numId="7" w16cid:durableId="2052457621">
    <w:abstractNumId w:val="19"/>
  </w:num>
  <w:num w:numId="8" w16cid:durableId="1990942160">
    <w:abstractNumId w:val="10"/>
  </w:num>
  <w:num w:numId="9" w16cid:durableId="1513445847">
    <w:abstractNumId w:val="15"/>
  </w:num>
  <w:num w:numId="10" w16cid:durableId="1601910766">
    <w:abstractNumId w:val="2"/>
  </w:num>
  <w:num w:numId="11" w16cid:durableId="1784154438">
    <w:abstractNumId w:val="9"/>
  </w:num>
  <w:num w:numId="12" w16cid:durableId="1742020813">
    <w:abstractNumId w:val="13"/>
  </w:num>
  <w:num w:numId="13" w16cid:durableId="1195923016">
    <w:abstractNumId w:val="1"/>
  </w:num>
  <w:num w:numId="14" w16cid:durableId="1916209945">
    <w:abstractNumId w:val="8"/>
  </w:num>
  <w:num w:numId="15" w16cid:durableId="1128668023">
    <w:abstractNumId w:val="7"/>
  </w:num>
  <w:num w:numId="16" w16cid:durableId="1694726715">
    <w:abstractNumId w:val="3"/>
  </w:num>
  <w:num w:numId="17" w16cid:durableId="122427358">
    <w:abstractNumId w:val="18"/>
  </w:num>
  <w:num w:numId="18" w16cid:durableId="296567864">
    <w:abstractNumId w:val="0"/>
  </w:num>
  <w:num w:numId="19" w16cid:durableId="1590498">
    <w:abstractNumId w:val="5"/>
  </w:num>
  <w:num w:numId="20" w16cid:durableId="747650539">
    <w:abstractNumId w:val="11"/>
  </w:num>
  <w:num w:numId="21" w16cid:durableId="791705232">
    <w:abstractNumId w:val="16"/>
  </w:num>
  <w:num w:numId="22" w16cid:durableId="689255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6DB4"/>
    <w:rsid w:val="00012161"/>
    <w:rsid w:val="0003683E"/>
    <w:rsid w:val="0006549F"/>
    <w:rsid w:val="00075E7D"/>
    <w:rsid w:val="000951FC"/>
    <w:rsid w:val="000B6B47"/>
    <w:rsid w:val="00104FBD"/>
    <w:rsid w:val="00107DB7"/>
    <w:rsid w:val="001211E4"/>
    <w:rsid w:val="001352C9"/>
    <w:rsid w:val="00146224"/>
    <w:rsid w:val="00153A5E"/>
    <w:rsid w:val="00155A33"/>
    <w:rsid w:val="0016489D"/>
    <w:rsid w:val="00172838"/>
    <w:rsid w:val="00173019"/>
    <w:rsid w:val="001C0488"/>
    <w:rsid w:val="001D3E5E"/>
    <w:rsid w:val="001E2214"/>
    <w:rsid w:val="001F4B76"/>
    <w:rsid w:val="00207907"/>
    <w:rsid w:val="00210898"/>
    <w:rsid w:val="002413F9"/>
    <w:rsid w:val="002456A6"/>
    <w:rsid w:val="0025418D"/>
    <w:rsid w:val="0027599F"/>
    <w:rsid w:val="00282574"/>
    <w:rsid w:val="00291D72"/>
    <w:rsid w:val="003037EA"/>
    <w:rsid w:val="00304D68"/>
    <w:rsid w:val="003059A0"/>
    <w:rsid w:val="00327260"/>
    <w:rsid w:val="00372D6C"/>
    <w:rsid w:val="003734BD"/>
    <w:rsid w:val="00375725"/>
    <w:rsid w:val="00385774"/>
    <w:rsid w:val="00395958"/>
    <w:rsid w:val="003B27D7"/>
    <w:rsid w:val="003B2C3D"/>
    <w:rsid w:val="003C246D"/>
    <w:rsid w:val="003E3194"/>
    <w:rsid w:val="003F2539"/>
    <w:rsid w:val="0040417E"/>
    <w:rsid w:val="0041022B"/>
    <w:rsid w:val="00432F9D"/>
    <w:rsid w:val="00443A0C"/>
    <w:rsid w:val="0044775D"/>
    <w:rsid w:val="0046235C"/>
    <w:rsid w:val="004655D5"/>
    <w:rsid w:val="004716C0"/>
    <w:rsid w:val="004741B7"/>
    <w:rsid w:val="00475B9A"/>
    <w:rsid w:val="004851CD"/>
    <w:rsid w:val="004A109A"/>
    <w:rsid w:val="004A7B7C"/>
    <w:rsid w:val="004B2A25"/>
    <w:rsid w:val="004F06C5"/>
    <w:rsid w:val="005114C1"/>
    <w:rsid w:val="00535FA7"/>
    <w:rsid w:val="00547E08"/>
    <w:rsid w:val="00554C44"/>
    <w:rsid w:val="0056046D"/>
    <w:rsid w:val="00582622"/>
    <w:rsid w:val="005A3010"/>
    <w:rsid w:val="005F597F"/>
    <w:rsid w:val="0061079D"/>
    <w:rsid w:val="00611684"/>
    <w:rsid w:val="00623C42"/>
    <w:rsid w:val="0062566A"/>
    <w:rsid w:val="00647A91"/>
    <w:rsid w:val="006735E4"/>
    <w:rsid w:val="006736E3"/>
    <w:rsid w:val="00673AA6"/>
    <w:rsid w:val="006B2D8C"/>
    <w:rsid w:val="006C13DF"/>
    <w:rsid w:val="006D059A"/>
    <w:rsid w:val="006D5191"/>
    <w:rsid w:val="006E5D7E"/>
    <w:rsid w:val="0070788D"/>
    <w:rsid w:val="00707D62"/>
    <w:rsid w:val="0071066B"/>
    <w:rsid w:val="00720E17"/>
    <w:rsid w:val="00723226"/>
    <w:rsid w:val="00746E34"/>
    <w:rsid w:val="00766785"/>
    <w:rsid w:val="007827BC"/>
    <w:rsid w:val="007B276A"/>
    <w:rsid w:val="007B3CAD"/>
    <w:rsid w:val="007B5464"/>
    <w:rsid w:val="007F774D"/>
    <w:rsid w:val="0081058F"/>
    <w:rsid w:val="00812438"/>
    <w:rsid w:val="00830D90"/>
    <w:rsid w:val="0085033F"/>
    <w:rsid w:val="0085137E"/>
    <w:rsid w:val="00877089"/>
    <w:rsid w:val="00883AE8"/>
    <w:rsid w:val="008A17C5"/>
    <w:rsid w:val="008A3DF3"/>
    <w:rsid w:val="008A4B63"/>
    <w:rsid w:val="008C7B8B"/>
    <w:rsid w:val="008D5CD7"/>
    <w:rsid w:val="0090164E"/>
    <w:rsid w:val="00903714"/>
    <w:rsid w:val="00907802"/>
    <w:rsid w:val="009221FC"/>
    <w:rsid w:val="00970C07"/>
    <w:rsid w:val="009B63C5"/>
    <w:rsid w:val="009C1423"/>
    <w:rsid w:val="009F58E9"/>
    <w:rsid w:val="00A15BA7"/>
    <w:rsid w:val="00A34A2E"/>
    <w:rsid w:val="00A6199E"/>
    <w:rsid w:val="00A66EA4"/>
    <w:rsid w:val="00A90892"/>
    <w:rsid w:val="00AA1C0D"/>
    <w:rsid w:val="00AC3F5C"/>
    <w:rsid w:val="00AD2AAC"/>
    <w:rsid w:val="00AD7142"/>
    <w:rsid w:val="00B018E9"/>
    <w:rsid w:val="00B02B2F"/>
    <w:rsid w:val="00B06F5F"/>
    <w:rsid w:val="00B20176"/>
    <w:rsid w:val="00B35BBC"/>
    <w:rsid w:val="00B35CC5"/>
    <w:rsid w:val="00BA0AC7"/>
    <w:rsid w:val="00BA56B9"/>
    <w:rsid w:val="00BA6452"/>
    <w:rsid w:val="00BB482D"/>
    <w:rsid w:val="00BC2CCA"/>
    <w:rsid w:val="00BC30B4"/>
    <w:rsid w:val="00BC5A65"/>
    <w:rsid w:val="00BC6B4F"/>
    <w:rsid w:val="00C422C6"/>
    <w:rsid w:val="00C5199D"/>
    <w:rsid w:val="00C60DAA"/>
    <w:rsid w:val="00C841F4"/>
    <w:rsid w:val="00CB0A74"/>
    <w:rsid w:val="00CB378A"/>
    <w:rsid w:val="00CB7209"/>
    <w:rsid w:val="00CF47A3"/>
    <w:rsid w:val="00D0522F"/>
    <w:rsid w:val="00D24920"/>
    <w:rsid w:val="00D3131F"/>
    <w:rsid w:val="00D32B64"/>
    <w:rsid w:val="00D52D0F"/>
    <w:rsid w:val="00D63C0C"/>
    <w:rsid w:val="00D67543"/>
    <w:rsid w:val="00DB2B04"/>
    <w:rsid w:val="00DB7CE3"/>
    <w:rsid w:val="00DD2E9C"/>
    <w:rsid w:val="00E17D28"/>
    <w:rsid w:val="00E206CB"/>
    <w:rsid w:val="00E20A8E"/>
    <w:rsid w:val="00E83F80"/>
    <w:rsid w:val="00E85BE7"/>
    <w:rsid w:val="00E95F48"/>
    <w:rsid w:val="00EA6D6C"/>
    <w:rsid w:val="00EC1795"/>
    <w:rsid w:val="00EC27DF"/>
    <w:rsid w:val="00F115B5"/>
    <w:rsid w:val="00F11D3A"/>
    <w:rsid w:val="00F20BEA"/>
    <w:rsid w:val="00F26421"/>
    <w:rsid w:val="00F47289"/>
    <w:rsid w:val="00F5454F"/>
    <w:rsid w:val="00F63B74"/>
    <w:rsid w:val="00F677E9"/>
    <w:rsid w:val="00F92FD1"/>
    <w:rsid w:val="00FA22B2"/>
    <w:rsid w:val="00FB6BDB"/>
    <w:rsid w:val="00FC1FEB"/>
    <w:rsid w:val="00FC2E79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2462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Ian Fuller</cp:lastModifiedBy>
  <cp:revision>2</cp:revision>
  <cp:lastPrinted>2010-01-26T00:37:00Z</cp:lastPrinted>
  <dcterms:created xsi:type="dcterms:W3CDTF">2023-11-21T03:57:00Z</dcterms:created>
  <dcterms:modified xsi:type="dcterms:W3CDTF">2023-11-21T03:57:00Z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2023-10-31T04:30:57Z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1062b59d-bd64-41df-adc9-0d394bf144a3</vt:lpwstr>
  </property>
  <property fmtid="{D5CDD505-2E9C-101B-9397-08002B2CF9AE}" pid="8" name="MSIP_Label_bd9e4d68-54d0-40a5-8c9a-85a36c87352c_ContentBits">
    <vt:lpwstr>0</vt:lpwstr>
  </property>
</Properties>
</file>